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0291" w14:textId="253DC386" w:rsidR="00BF19C8" w:rsidRDefault="00BF19C8" w:rsidP="00900524">
      <w:pPr>
        <w:pStyle w:val="UZ"/>
        <w:ind w:left="0"/>
      </w:pPr>
      <w:r>
        <w:t xml:space="preserve">MUO broj: </w:t>
      </w:r>
      <w:r w:rsidR="00353C79">
        <w:t>32/13</w:t>
      </w:r>
    </w:p>
    <w:p w14:paraId="0B243FFB" w14:textId="30994364" w:rsidR="00BF19C8" w:rsidRDefault="00BF19C8" w:rsidP="00900524">
      <w:pPr>
        <w:pStyle w:val="Datum"/>
        <w:ind w:left="0"/>
      </w:pPr>
      <w:r>
        <w:t xml:space="preserve">U Zagrebu, </w:t>
      </w:r>
      <w:r w:rsidR="00353C79">
        <w:t>12.04. 2022.</w:t>
      </w:r>
    </w:p>
    <w:p w14:paraId="08B748B8" w14:textId="77777777" w:rsidR="00BF19C8" w:rsidRDefault="00BF19C8" w:rsidP="00781963">
      <w:pPr>
        <w:pStyle w:val="predmet"/>
        <w:spacing w:after="0" w:line="240" w:lineRule="auto"/>
        <w:rPr>
          <w:sz w:val="24"/>
          <w:szCs w:val="24"/>
        </w:rPr>
      </w:pPr>
    </w:p>
    <w:p w14:paraId="698C3365" w14:textId="5E1239A3" w:rsidR="00900524" w:rsidRDefault="00353C79" w:rsidP="00353C79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PREDMET: Poziv za dostavu ponude usluga osiguranja imovine,</w:t>
      </w:r>
      <w:r w:rsidR="0090052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900524" w:rsidRPr="00353C79">
        <w:rPr>
          <w:rFonts w:ascii="Calibri" w:hAnsi="Calibri" w:cs="Calibri"/>
          <w:b/>
          <w:bCs/>
          <w:color w:val="auto"/>
          <w:sz w:val="22"/>
          <w:szCs w:val="22"/>
        </w:rPr>
        <w:t>JN 3/202</w:t>
      </w:r>
      <w:r w:rsidRPr="00353C79">
        <w:rPr>
          <w:rFonts w:ascii="Calibri" w:hAnsi="Calibri" w:cs="Calibri"/>
          <w:b/>
          <w:bCs/>
          <w:color w:val="auto"/>
          <w:sz w:val="22"/>
          <w:szCs w:val="22"/>
        </w:rPr>
        <w:t>2</w:t>
      </w:r>
    </w:p>
    <w:p w14:paraId="7C3A1407" w14:textId="5B1F4D5F" w:rsidR="00353C79" w:rsidRDefault="00353C79" w:rsidP="00353C79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AE82707" w14:textId="2155EA41" w:rsidR="00353C79" w:rsidRDefault="00353C79" w:rsidP="00353C79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 w:rsidRPr="00353C79">
        <w:rPr>
          <w:rFonts w:ascii="Calibri" w:hAnsi="Calibri" w:cs="Calibri"/>
          <w:i/>
          <w:iCs/>
          <w:color w:val="auto"/>
          <w:sz w:val="22"/>
          <w:szCs w:val="22"/>
        </w:rPr>
        <w:t>Sukladno Pravilniku o provedbi postupaka jednostavne nabave u Muzeju za umjetnost i obrt objavljujemo slijedeći poziv za dostavu ponude:</w:t>
      </w:r>
    </w:p>
    <w:p w14:paraId="780879D4" w14:textId="77777777" w:rsidR="003F63F9" w:rsidRPr="00353C79" w:rsidRDefault="003F63F9" w:rsidP="00353C79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429C8EB2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0B1B16D0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1. OPĆI PODACI </w:t>
      </w:r>
    </w:p>
    <w:p w14:paraId="2946DC5E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E80BB79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Naručitelj: </w:t>
      </w:r>
    </w:p>
    <w:p w14:paraId="4BA4C2B6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ACE8AF9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Naziv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: Muzej za umjetnost i obrt</w:t>
      </w:r>
    </w:p>
    <w:p w14:paraId="30B6378B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Adresa: Trg Republike Hrvatske 10</w:t>
      </w:r>
    </w:p>
    <w:p w14:paraId="597D951A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OIB:02728849314</w:t>
      </w:r>
    </w:p>
    <w:p w14:paraId="41CDFCD5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Telefon: 01/4882 118</w:t>
      </w:r>
    </w:p>
    <w:p w14:paraId="166950EC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Telefaks: 01/4828 088</w:t>
      </w:r>
    </w:p>
    <w:p w14:paraId="61522388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Internetska adresa: www.muo.hr</w:t>
      </w:r>
    </w:p>
    <w:p w14:paraId="272A0248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1A650E3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Osoba/e zadužena/e za kontakt: </w:t>
      </w:r>
    </w:p>
    <w:p w14:paraId="3479C7F1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EF83A39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Ime i prezime: Lada Bikić, Marina Lukić</w:t>
      </w:r>
    </w:p>
    <w:p w14:paraId="18656B4F" w14:textId="26C6EF46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E-pošta: </w:t>
      </w:r>
      <w:hyperlink r:id="rId7" w:history="1">
        <w:r w:rsidR="0039472A" w:rsidRPr="00F673EA">
          <w:rPr>
            <w:rStyle w:val="Hiperveza"/>
            <w:rFonts w:ascii="Calibri" w:hAnsi="Calibri" w:cs="Calibri"/>
            <w:sz w:val="22"/>
            <w:szCs w:val="22"/>
          </w:rPr>
          <w:t>lada.bikic@muo.hr</w:t>
        </w:r>
      </w:hyperlink>
      <w:r w:rsidR="0039472A">
        <w:rPr>
          <w:rFonts w:ascii="Calibri" w:hAnsi="Calibri" w:cs="Calibri"/>
          <w:color w:val="auto"/>
          <w:sz w:val="22"/>
          <w:szCs w:val="22"/>
        </w:rPr>
        <w:t xml:space="preserve"> ; </w:t>
      </w:r>
      <w:hyperlink r:id="rId8" w:history="1">
        <w:r>
          <w:rPr>
            <w:rStyle w:val="Hiperveza"/>
            <w:rFonts w:ascii="Calibri" w:hAnsi="Calibri" w:cs="Calibri"/>
            <w:sz w:val="22"/>
            <w:szCs w:val="22"/>
          </w:rPr>
          <w:t>marina.lukic@muo.hr</w:t>
        </w:r>
      </w:hyperlink>
    </w:p>
    <w:p w14:paraId="05D28175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7BD0B1D" w14:textId="2D202753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Evidencijski broj nabave</w:t>
      </w:r>
      <w:r w:rsidRPr="00353C79">
        <w:rPr>
          <w:rFonts w:ascii="Calibri" w:hAnsi="Calibri" w:cs="Calibri"/>
          <w:b/>
          <w:bCs/>
          <w:color w:val="auto"/>
          <w:sz w:val="22"/>
          <w:szCs w:val="22"/>
        </w:rPr>
        <w:t>: JN 3/202</w:t>
      </w:r>
      <w:r w:rsidR="00353C79" w:rsidRPr="00353C79">
        <w:rPr>
          <w:rFonts w:ascii="Calibri" w:hAnsi="Calibri" w:cs="Calibri"/>
          <w:b/>
          <w:bCs/>
          <w:color w:val="auto"/>
          <w:sz w:val="22"/>
          <w:szCs w:val="22"/>
        </w:rPr>
        <w:t>2</w:t>
      </w:r>
    </w:p>
    <w:p w14:paraId="2A605EC8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Procijenjena vrijednost nabave: </w:t>
      </w:r>
      <w:r>
        <w:rPr>
          <w:rFonts w:ascii="Calibri" w:hAnsi="Calibri" w:cs="Calibri"/>
          <w:color w:val="auto"/>
          <w:sz w:val="22"/>
          <w:szCs w:val="22"/>
        </w:rPr>
        <w:t>190.000,00 kuna</w:t>
      </w:r>
    </w:p>
    <w:p w14:paraId="4E20F340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Vrsta postupka javne nabave: </w:t>
      </w:r>
      <w:r>
        <w:rPr>
          <w:rFonts w:ascii="Calibri" w:hAnsi="Calibri" w:cs="Calibri"/>
          <w:color w:val="auto"/>
          <w:sz w:val="22"/>
          <w:szCs w:val="22"/>
        </w:rPr>
        <w:t>postupak jednostavne nabave s ciljem sklapanja ugovora o jednostavnoj nabavi usluga osiguranja u trajanju od godinu dana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; </w:t>
      </w:r>
      <w:r>
        <w:rPr>
          <w:rFonts w:ascii="Calibri" w:hAnsi="Calibri" w:cs="Calibri"/>
          <w:color w:val="auto"/>
          <w:sz w:val="22"/>
          <w:szCs w:val="22"/>
        </w:rPr>
        <w:t>prikupljanje ponuda putem objave na internetskoj stranici Naručitelja i slanjem poziva na adrese tri ponuditelja</w:t>
      </w:r>
    </w:p>
    <w:p w14:paraId="6120BADC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Na ovaj postupak ne primjenjuje se Zakon o javnoj nabavi ("Narodne novine", br. 120/16, dalje: ZJN 2016). </w:t>
      </w:r>
    </w:p>
    <w:p w14:paraId="3FAD773E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CC45FE2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 PODACI O PREDMETU NABAVE </w:t>
      </w:r>
    </w:p>
    <w:p w14:paraId="149F638E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1BAFB34" w14:textId="711C8B5A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Opis predmeta nabave: </w:t>
      </w:r>
      <w:r>
        <w:rPr>
          <w:rFonts w:ascii="Calibri" w:hAnsi="Calibri" w:cs="Calibri"/>
          <w:color w:val="auto"/>
          <w:sz w:val="22"/>
          <w:szCs w:val="22"/>
        </w:rPr>
        <w:t>nabava usluga osiguranja, sukladno tehničkim značajkama i ostalim traženim uvjetima naznačenima u ovo</w:t>
      </w:r>
      <w:r w:rsidR="002C07CA">
        <w:rPr>
          <w:rFonts w:ascii="Calibri" w:hAnsi="Calibri" w:cs="Calibri"/>
          <w:color w:val="auto"/>
          <w:sz w:val="22"/>
          <w:szCs w:val="22"/>
        </w:rPr>
        <w:t>m pozivu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3D43D1B5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Predmet nabave uključuje:</w:t>
      </w:r>
    </w:p>
    <w:p w14:paraId="6DD0E218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•</w:t>
      </w:r>
      <w:r>
        <w:rPr>
          <w:rFonts w:ascii="Calibri" w:hAnsi="Calibri" w:cs="Calibri"/>
          <w:color w:val="auto"/>
          <w:sz w:val="22"/>
          <w:szCs w:val="22"/>
        </w:rPr>
        <w:tab/>
        <w:t xml:space="preserve">Osiguranje imovine – muzejski fundus, knjižni fond i zgrada Zbirke Anke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Gvozdanović</w:t>
      </w:r>
      <w:proofErr w:type="spellEnd"/>
    </w:p>
    <w:p w14:paraId="017EAEA8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3FF00ED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CPV oznaka predmeta nabave:66510000 - Usluge osiguranja</w:t>
      </w:r>
    </w:p>
    <w:p w14:paraId="18D37026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2821DFA" w14:textId="7836BF63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Opseg predmeta nabave: </w:t>
      </w:r>
      <w:r>
        <w:rPr>
          <w:rFonts w:ascii="Calibri" w:hAnsi="Calibri" w:cs="Calibri"/>
          <w:color w:val="auto"/>
          <w:sz w:val="22"/>
          <w:szCs w:val="22"/>
        </w:rPr>
        <w:t>prema Specifikacijama</w:t>
      </w:r>
      <w:r w:rsidR="002C07CA">
        <w:rPr>
          <w:rFonts w:ascii="Calibri" w:hAnsi="Calibri" w:cs="Calibri"/>
          <w:color w:val="auto"/>
          <w:sz w:val="22"/>
          <w:szCs w:val="22"/>
        </w:rPr>
        <w:t xml:space="preserve"> i Troškovniku</w:t>
      </w:r>
    </w:p>
    <w:p w14:paraId="67591F17" w14:textId="610AA55F" w:rsidR="003F63F9" w:rsidRDefault="003F63F9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0771C8E" w14:textId="77777777" w:rsidR="003F63F9" w:rsidRDefault="003F63F9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4C4ADD3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84D65BA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 xml:space="preserve">Tehničke specifikacije: </w:t>
      </w:r>
    </w:p>
    <w:p w14:paraId="6C445487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46BB595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A)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ab/>
        <w:t>OSIGURANJE  IMOVINE</w:t>
      </w:r>
    </w:p>
    <w:p w14:paraId="0321D665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42A9C2F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Osigurani rizici:</w:t>
      </w:r>
    </w:p>
    <w:p w14:paraId="31B69975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529FAF1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•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>Požar</w:t>
      </w:r>
    </w:p>
    <w:p w14:paraId="768CB66E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Požarom se smatra vatra nastala izvan određenog vatrišta ili vatra koja je ovo mjesto napustila i sposobna je dalje širiti se svojom vlastitom snagom.</w:t>
      </w:r>
    </w:p>
    <w:p w14:paraId="0F3F93B9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512DA21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•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>Udar groma</w:t>
      </w:r>
    </w:p>
    <w:p w14:paraId="0F46E721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Osiguranje od udara groma obuhvaća štete koje na osiguranim stvarima prouzroči grom djelovanjem snage ili topline, kao i štete od udara predmeta srušenih gromom.</w:t>
      </w:r>
    </w:p>
    <w:p w14:paraId="2E1D86E0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DCC0775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•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>Eksplozija</w:t>
      </w:r>
    </w:p>
    <w:p w14:paraId="5746E34D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Eksplozija (osim eksplozije nuklearne energije) je iznenadna manifestacija sile, koja rezultira ekspanzijom plinova ili para. </w:t>
      </w:r>
    </w:p>
    <w:p w14:paraId="558AEBF8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D8B719E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•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>Pad zračne letjelice</w:t>
      </w:r>
    </w:p>
    <w:p w14:paraId="7992A325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Padom letjelice, u smislu ovih Uvjeta, smatra se pad letjelice bilo koje vrste na osigurani objekt.</w:t>
      </w:r>
    </w:p>
    <w:p w14:paraId="0989C01A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Pod padom zračne letjelice podrazumijeva se pad ili udar letjelice bilo koje vrste ili njihovih dijelova.</w:t>
      </w:r>
    </w:p>
    <w:p w14:paraId="049B4A17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4760103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•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>Oluja, tuča</w:t>
      </w:r>
    </w:p>
    <w:p w14:paraId="4E11B3D2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Olujom se smatra vjetar brzine 62 km/h (8 stupnjeva po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Beaufourtovoj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skali) ili više na osiguranom području. Smatrat će se da je puhao vjetar ove brzine u kraju gdje se nalaze osigurane stvari, ako je vjetar lomio grane i/ili stabla ili oštetio redovno održavane građevinske objekte.</w:t>
      </w:r>
    </w:p>
    <w:p w14:paraId="182C5011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Opseg rizika tuče: obuhvaćene su štete od uništenja odnosno oštećenja osiguranih stvari koje prouzrokuje tuča svojim udarom. Obuhvaćene su i štete od prodiranja tuče i kiše kroz otvore nastale od padanja tuče.</w:t>
      </w:r>
    </w:p>
    <w:p w14:paraId="7708484E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3CAD804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•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>Manifestacija, demonstracija, zlonamjerno oštećenje, štrajk i isključivanje iz rada</w:t>
      </w:r>
    </w:p>
    <w:p w14:paraId="67CDD8B5" w14:textId="351E3AA2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Manifestacijom i demonstracijom smatra se organizirano ili spontano javno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ispoljavanje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raspoloženja grupe građana. Smatra se da je nastao osigurani slučaj rizika manifestacije ili demonstracije ako je osigurana stvar uništena ili oštećena na bilo koji način djelovanjem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manifestanata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odnosno demonstranata (rušenje, demoliranje, razbijanje, paljenje</w:t>
      </w:r>
      <w:r w:rsidR="003B0CEA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i dr.). </w:t>
      </w:r>
    </w:p>
    <w:p w14:paraId="5EFF8DFD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CF714E1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•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>Udar motornog vozila</w:t>
      </w:r>
    </w:p>
    <w:p w14:paraId="7DE8B9C7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Osiguranjem su obuhvaćene štete na osiguranoj građevini koje nastanu udarom vlastitog motornog vozila, vlastitog pokretnog radnog stroja, ili nepoznatog motornog vozila.</w:t>
      </w:r>
    </w:p>
    <w:p w14:paraId="642BF06A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4B30CB8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•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>Izljev vode iz vodovodnih i kanalizacijskih cijevi i ostalih cijevnih sustava</w:t>
      </w:r>
    </w:p>
    <w:p w14:paraId="63FBAC22" w14:textId="248F54C5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Osiguratelj snosi naknadu štete za osiguranu imovinu koja se uništi, ošteti ili nestane zbog izljeva vode iz vodovodnih i kanalizacijskih cijevi kao i uređaja za grijanje toplom vodom i na parno grijanje te drugih uređaja i aparata koji su priključeni na vodovodnu mrežu.</w:t>
      </w:r>
    </w:p>
    <w:p w14:paraId="29B3D3AC" w14:textId="77777777" w:rsidR="003F63F9" w:rsidRDefault="003F63F9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9078485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073B8EF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•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>Poplava, bujica, visoka voda</w:t>
      </w:r>
    </w:p>
    <w:p w14:paraId="328A81C4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Poplavom se smatra stihijsko neočekivano poplavljivanje terena od stalnih voda (rijeka, jezera, mora i dr.) zbog toga što se voda izlila iz korita ili preplavila obrambeni nasip ili branu te izlijevanje vode zbog izvanredne plime i valova na moru i jezerima neobične jačine, kao i od nadolaska vode iz umjetnih jezera. </w:t>
      </w:r>
    </w:p>
    <w:p w14:paraId="06A106FC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Poplavom se smatra i neočekivano poplavljivanje terena zbog naglog stvaranja velike količine vodene mase koja je nastala kao posljedica proloma oblaka.</w:t>
      </w:r>
    </w:p>
    <w:p w14:paraId="6A95AFA9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B80D67E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Bujicom se smatra stihijsko neočekivano poplavljivanje  terena vodenom masom koja se stvara na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nizbrdnim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terenima zbog jakih atmosferskih oborina i slijevanja ulicama i putovima.</w:t>
      </w:r>
    </w:p>
    <w:p w14:paraId="68B1490F" w14:textId="63BC317D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Visokim vodama smatraju se: izuzetne pojave neuobičajenog porasta vodostaja u neočekivano vrijeme,</w:t>
      </w:r>
      <w:r w:rsidR="003B0CEA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podzemne vode kao posljedice visoke vode.</w:t>
      </w:r>
    </w:p>
    <w:p w14:paraId="3ADCE8FF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7E34059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•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>Provalna krađa uključujući vandalizam i razbojstvo</w:t>
      </w:r>
    </w:p>
    <w:p w14:paraId="74287BA2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Ovom vrstom osiguranja pokrivena je šteta  od osiguranog rizika izvršenja ili pokušaja provalne krađe ili razbojstva kao i obijesti (vandalizma) tijekom provalne krađe.</w:t>
      </w:r>
    </w:p>
    <w:p w14:paraId="594E64C4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F7C9B5B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•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>Osigurana imovina</w:t>
      </w:r>
    </w:p>
    <w:p w14:paraId="5A60B7F7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Osigurana je imovina osiguranika navedena u natječajnoj dokumentaciji </w:t>
      </w:r>
    </w:p>
    <w:p w14:paraId="4B7E6AA0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Imovina koja se tijekom trajanja osiguranja preseli na drugu spomenutu ili nespomenutu lokaciju, osigurana je.</w:t>
      </w:r>
    </w:p>
    <w:p w14:paraId="4BCD6B8B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2A39129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•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ab/>
        <w:t>Vrijednost osigurane stvari</w:t>
      </w:r>
    </w:p>
    <w:p w14:paraId="78048751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ab/>
        <w:t>- za građevine - procijenjena vrijednost</w:t>
      </w:r>
    </w:p>
    <w:p w14:paraId="60C81BD2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ab/>
        <w:t>- umjetnine/umjetnički predmeti - sporazumno dogovorena (taksirana) vrijednost</w:t>
      </w:r>
    </w:p>
    <w:p w14:paraId="77E0289E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D8333BA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•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Odredbe o </w:t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podosiguranju</w:t>
      </w:r>
      <w:proofErr w:type="spellEnd"/>
    </w:p>
    <w:p w14:paraId="5D644A00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Nakon sklapanja ugovora o osiguranju, načelo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srazmjera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kao posljedica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podosiguranja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neće se primjenjivati niti kod  jedne skupine osiguranja.</w:t>
      </w:r>
    </w:p>
    <w:p w14:paraId="6BA77630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26E09A6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•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>Limit naknade i franšize</w:t>
      </w:r>
    </w:p>
    <w:p w14:paraId="2274E2AC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Osiguratelj snosi naknadu štete po osiguranom slučaju do osiguranog iznosa po pojedinim stavkama odnosno rizicima. </w:t>
      </w:r>
    </w:p>
    <w:p w14:paraId="7928B141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Osiguranje se ugovara bez učešća u šteti.</w:t>
      </w:r>
    </w:p>
    <w:p w14:paraId="29250379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C03125A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3. DOKUMENTI </w:t>
      </w:r>
    </w:p>
    <w:p w14:paraId="6CE3AE8E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5AC6FB3" w14:textId="77777777" w:rsidR="00900524" w:rsidRDefault="00900524" w:rsidP="0090052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3.1. </w:t>
      </w:r>
      <w:r>
        <w:rPr>
          <w:rFonts w:ascii="Calibri" w:hAnsi="Calibri" w:cs="Calibri"/>
          <w:color w:val="auto"/>
          <w:sz w:val="22"/>
          <w:szCs w:val="22"/>
        </w:rPr>
        <w:t xml:space="preserve">Ponuditelj je dužan dostaviti potvrdu Porezne uprave o stanju duga iz koje je vidljivo da je gospodarski subjekt ispunio obvezu plaćanja svih dospjelih poreznih obveza i obveza za mirovinsko i zdravstveno osiguranje, osim ako mu prema posebnom zakonu plaćanje tih obveza nije dopušteno ili je odobrena odgoda plaćanja (primjerice u postupku predstečajne nagodbe.) </w:t>
      </w:r>
    </w:p>
    <w:p w14:paraId="73461871" w14:textId="72CC399C" w:rsidR="00900524" w:rsidRDefault="00900524" w:rsidP="0090052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Potvrda ne smije biti starija od 30 dana od dana</w:t>
      </w:r>
      <w:r w:rsidR="00C92612">
        <w:rPr>
          <w:rFonts w:ascii="Calibri" w:hAnsi="Calibri" w:cs="Calibri"/>
          <w:color w:val="auto"/>
          <w:sz w:val="22"/>
          <w:szCs w:val="22"/>
        </w:rPr>
        <w:t xml:space="preserve"> dostave poziva za dostavu ponude</w:t>
      </w:r>
      <w:r>
        <w:rPr>
          <w:rFonts w:ascii="Calibri" w:hAnsi="Calibri" w:cs="Calibri"/>
          <w:color w:val="auto"/>
          <w:sz w:val="22"/>
          <w:szCs w:val="22"/>
        </w:rPr>
        <w:t xml:space="preserve">, a može se dostaviti i u neovjerenoj preslici. Neovjerenom preslikom smatra se i neovjereni ispis elektroničke isprave. </w:t>
      </w:r>
    </w:p>
    <w:p w14:paraId="1FCB047E" w14:textId="4A782220" w:rsidR="003F63F9" w:rsidRDefault="003F63F9" w:rsidP="0090052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DC202FB" w14:textId="77777777" w:rsidR="003F63F9" w:rsidRDefault="003F63F9" w:rsidP="0090052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3248EF9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0C8DE444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 xml:space="preserve">4. PODACI O PONUDI </w:t>
      </w:r>
    </w:p>
    <w:p w14:paraId="3A7AB735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0D33011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4.1. Sadržaj i način izrade ponude </w:t>
      </w:r>
    </w:p>
    <w:p w14:paraId="10E7BE6A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580B1DD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Ponuda sadrži: </w:t>
      </w:r>
    </w:p>
    <w:p w14:paraId="55343E74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1) popunjeni Ponudbeni list - prilog 1. </w:t>
      </w:r>
    </w:p>
    <w:p w14:paraId="504CD9CE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2) popunjeni Troškovnik – prilog 2.</w:t>
      </w:r>
    </w:p>
    <w:p w14:paraId="2F4CA2BB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3) dokumente iz točke 3. </w:t>
      </w:r>
    </w:p>
    <w:p w14:paraId="2A0BB32E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4) jamstvo za ozbiljnost ponude - točka 5.1.</w:t>
      </w:r>
    </w:p>
    <w:p w14:paraId="1DE5BDFC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245E560" w14:textId="3A154CBA" w:rsidR="00812770" w:rsidRDefault="00812770" w:rsidP="0090052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Da bi ponuda bila valjana, mora sadržavati popunjen Ponudbeni list i Troškovnik – ovjeren pečatom i potpisom ovlaštene osobe ponuditelja. Troškovnik i ponudbeni list nalaze se u prilogu ovog Poziva.</w:t>
      </w:r>
    </w:p>
    <w:p w14:paraId="5E2D3B68" w14:textId="77777777" w:rsidR="00812770" w:rsidRDefault="00812770" w:rsidP="0090052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62D8677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B8C7053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4.2. Način dostave ponude </w:t>
      </w:r>
    </w:p>
    <w:p w14:paraId="35BE0BFA" w14:textId="77777777" w:rsidR="00900524" w:rsidRDefault="00900524" w:rsidP="0090052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2885398" w14:textId="2DD9150F" w:rsidR="00B72AE0" w:rsidRDefault="00900524" w:rsidP="0090052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Ponud</w:t>
      </w:r>
      <w:r w:rsidR="00812770">
        <w:rPr>
          <w:rFonts w:ascii="Calibri" w:hAnsi="Calibri" w:cs="Calibri"/>
          <w:color w:val="auto"/>
          <w:sz w:val="22"/>
          <w:szCs w:val="22"/>
        </w:rPr>
        <w:t xml:space="preserve">u je potrebno </w:t>
      </w:r>
      <w:r w:rsidR="00B72AE0">
        <w:rPr>
          <w:rFonts w:ascii="Calibri" w:hAnsi="Calibri" w:cs="Calibri"/>
          <w:color w:val="auto"/>
          <w:sz w:val="22"/>
          <w:szCs w:val="22"/>
        </w:rPr>
        <w:t xml:space="preserve">dostaviti prema priloženom Ponudbenom listu i Troškovniku elektroničkom poštom na adrese: </w:t>
      </w:r>
      <w:hyperlink r:id="rId9" w:history="1">
        <w:r w:rsidR="00D92E19" w:rsidRPr="00F673EA">
          <w:rPr>
            <w:rStyle w:val="Hiperveza"/>
            <w:rFonts w:ascii="Calibri" w:hAnsi="Calibri" w:cs="Calibri"/>
            <w:sz w:val="22"/>
            <w:szCs w:val="22"/>
          </w:rPr>
          <w:t>lada.bikic@muo.hr</w:t>
        </w:r>
      </w:hyperlink>
      <w:r w:rsidR="00D92E19">
        <w:rPr>
          <w:rFonts w:ascii="Calibri" w:hAnsi="Calibri" w:cs="Calibri"/>
          <w:color w:val="auto"/>
          <w:sz w:val="22"/>
          <w:szCs w:val="22"/>
        </w:rPr>
        <w:t xml:space="preserve"> ; </w:t>
      </w:r>
      <w:r w:rsidR="00B72AE0"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10" w:history="1">
        <w:r w:rsidR="00B72AE0" w:rsidRPr="00F673EA">
          <w:rPr>
            <w:rStyle w:val="Hiperveza"/>
            <w:rFonts w:ascii="Calibri" w:hAnsi="Calibri" w:cs="Calibri"/>
            <w:sz w:val="22"/>
            <w:szCs w:val="22"/>
          </w:rPr>
          <w:t>marina.lukic@muo.hr</w:t>
        </w:r>
      </w:hyperlink>
    </w:p>
    <w:p w14:paraId="20C9E7E0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CD13F5C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4.3. Način određivanja cijene ponude i valuta ponude </w:t>
      </w:r>
    </w:p>
    <w:p w14:paraId="0278951A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6FCB07A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Cijena ponude izražava se za cjelokupan predmet nabave. </w:t>
      </w:r>
    </w:p>
    <w:p w14:paraId="070B34B5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Cijena ponude je nepromjenjiva. Jedinične cijene dane u specifikaciji su nepromjenjive. </w:t>
      </w:r>
    </w:p>
    <w:p w14:paraId="53F1BBF3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Cijena ponude izražava se u kunama. U cijenu ponude bez poreza na dodanu vrijednost moraju biti uračunati svi troškovi i popusti. </w:t>
      </w:r>
    </w:p>
    <w:p w14:paraId="7BC43BF4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23D0850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4.4. Kriterij za odabir ponude </w:t>
      </w:r>
    </w:p>
    <w:p w14:paraId="6A74A486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7D8A31E" w14:textId="03F471B3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Kriterij za odabir je </w:t>
      </w:r>
      <w:r w:rsidR="00C92612">
        <w:rPr>
          <w:rFonts w:ascii="Calibri" w:hAnsi="Calibri" w:cs="Calibri"/>
          <w:color w:val="auto"/>
          <w:sz w:val="22"/>
          <w:szCs w:val="22"/>
        </w:rPr>
        <w:t>ekonomski najpovoljnija ponuda – najniža cijena ponude koja ispunjava sve uvjete i zahtjeve iz ovog poziva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6CF661BB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31026BD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4.5. Jezik i pismo na kojem se izrađuje ponuda </w:t>
      </w:r>
    </w:p>
    <w:p w14:paraId="5DAAF866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30855CC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Ponuda se izrađuje na hrvatskom jeziku i latiničnom pismu. </w:t>
      </w:r>
    </w:p>
    <w:p w14:paraId="71D0266F" w14:textId="54D3A405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Dokument tražen </w:t>
      </w:r>
      <w:r w:rsidR="00C92612">
        <w:rPr>
          <w:rFonts w:ascii="Calibri" w:hAnsi="Calibri" w:cs="Calibri"/>
          <w:color w:val="auto"/>
          <w:sz w:val="22"/>
          <w:szCs w:val="22"/>
        </w:rPr>
        <w:t>ovim pozivom</w:t>
      </w:r>
      <w:r>
        <w:rPr>
          <w:rFonts w:ascii="Calibri" w:hAnsi="Calibri" w:cs="Calibri"/>
          <w:color w:val="auto"/>
          <w:sz w:val="22"/>
          <w:szCs w:val="22"/>
        </w:rPr>
        <w:t xml:space="preserve"> mora također biti na hrvatskom jeziku. </w:t>
      </w:r>
    </w:p>
    <w:p w14:paraId="595F5A6C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A1CD9F2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4.6. Rok valjanosti ponude </w:t>
      </w:r>
    </w:p>
    <w:p w14:paraId="7FE1E44A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7FFE0BF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Valjanost ponude je 60 dana od dana otvaranja ponuda. </w:t>
      </w:r>
    </w:p>
    <w:p w14:paraId="4E5DCE96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FCB2A1A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4.7. Datum, vrijeme i mjesto dostave ponuda </w:t>
      </w:r>
    </w:p>
    <w:p w14:paraId="301B30F1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E314D04" w14:textId="4F1F915A" w:rsidR="00900524" w:rsidRPr="006B0022" w:rsidRDefault="006B0022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6B0022">
        <w:rPr>
          <w:rFonts w:ascii="Calibri" w:hAnsi="Calibri" w:cs="Calibri"/>
          <w:color w:val="auto"/>
          <w:sz w:val="22"/>
          <w:szCs w:val="22"/>
        </w:rPr>
        <w:t xml:space="preserve">Krajnji rok za </w:t>
      </w:r>
      <w:r w:rsidR="00900524" w:rsidRPr="006B0022">
        <w:rPr>
          <w:rFonts w:ascii="Calibri" w:hAnsi="Calibri" w:cs="Calibri"/>
          <w:color w:val="auto"/>
          <w:sz w:val="22"/>
          <w:szCs w:val="22"/>
        </w:rPr>
        <w:t>dostavu ponud</w:t>
      </w:r>
      <w:r w:rsidRPr="006B0022">
        <w:rPr>
          <w:rFonts w:ascii="Calibri" w:hAnsi="Calibri" w:cs="Calibri"/>
          <w:color w:val="auto"/>
          <w:sz w:val="22"/>
          <w:szCs w:val="22"/>
        </w:rPr>
        <w:t>e</w:t>
      </w:r>
      <w:r w:rsidR="00900524" w:rsidRPr="006B0022">
        <w:rPr>
          <w:rFonts w:ascii="Calibri" w:hAnsi="Calibri" w:cs="Calibri"/>
          <w:color w:val="auto"/>
          <w:sz w:val="22"/>
          <w:szCs w:val="22"/>
        </w:rPr>
        <w:t xml:space="preserve">: </w:t>
      </w:r>
      <w:r w:rsidR="003F63F9" w:rsidRPr="006B0022">
        <w:rPr>
          <w:rFonts w:ascii="Calibri" w:hAnsi="Calibri" w:cs="Calibri"/>
          <w:b/>
          <w:bCs/>
          <w:color w:val="auto"/>
          <w:sz w:val="22"/>
          <w:szCs w:val="22"/>
        </w:rPr>
        <w:t>20.</w:t>
      </w:r>
      <w:r w:rsidR="00900524" w:rsidRPr="006B0022">
        <w:rPr>
          <w:rFonts w:ascii="Calibri" w:hAnsi="Calibri" w:cs="Calibri"/>
          <w:b/>
          <w:bCs/>
          <w:color w:val="auto"/>
          <w:sz w:val="22"/>
          <w:szCs w:val="22"/>
        </w:rPr>
        <w:t xml:space="preserve"> travanj 202</w:t>
      </w:r>
      <w:r w:rsidR="003F63F9" w:rsidRPr="006B0022">
        <w:rPr>
          <w:rFonts w:ascii="Calibri" w:hAnsi="Calibri" w:cs="Calibri"/>
          <w:b/>
          <w:bCs/>
          <w:color w:val="auto"/>
          <w:sz w:val="22"/>
          <w:szCs w:val="22"/>
        </w:rPr>
        <w:t>2</w:t>
      </w:r>
      <w:r w:rsidR="00900524" w:rsidRPr="006B0022">
        <w:rPr>
          <w:rFonts w:ascii="Calibri" w:hAnsi="Calibri" w:cs="Calibri"/>
          <w:b/>
          <w:bCs/>
          <w:color w:val="auto"/>
          <w:sz w:val="22"/>
          <w:szCs w:val="22"/>
        </w:rPr>
        <w:t>. do 11:00 sati</w:t>
      </w:r>
      <w:r w:rsidR="00900524" w:rsidRPr="006B0022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64646685" w14:textId="054DDAF4" w:rsidR="00900524" w:rsidRDefault="006B0022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6B0022">
        <w:rPr>
          <w:rFonts w:ascii="Calibri" w:hAnsi="Calibri" w:cs="Calibri"/>
          <w:color w:val="auto"/>
          <w:sz w:val="22"/>
          <w:szCs w:val="22"/>
        </w:rPr>
        <w:t>Ponuda mora biti dostavljena naručitelju najkasnije do datuma i u vrijeme određeno u ovom pozivu.</w:t>
      </w:r>
    </w:p>
    <w:p w14:paraId="36621D84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D132AA4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 xml:space="preserve">5. OSTALE ODREDBE </w:t>
      </w:r>
    </w:p>
    <w:p w14:paraId="1357BFAE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861317B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5.1. Jamstvo za ozbiljnost ponude</w:t>
      </w:r>
    </w:p>
    <w:p w14:paraId="33B40929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CD03CB1" w14:textId="12082C39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U ponudi je ponuditelj obvezan priložiti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jamstvo za ozbiljnost ponude </w:t>
      </w:r>
      <w:r>
        <w:rPr>
          <w:rFonts w:ascii="Calibri" w:hAnsi="Calibri" w:cs="Calibri"/>
          <w:color w:val="auto"/>
          <w:sz w:val="22"/>
          <w:szCs w:val="22"/>
        </w:rPr>
        <w:t>u obliku garancije banke koja mora biti neopoziva, bezuvjetna i na prvi pisani poziv ili položiti novčani polog na poslovni račun Naručitelja br. HR6823400091110026071 u iznosu od 5.000,00 kuna.</w:t>
      </w:r>
    </w:p>
    <w:p w14:paraId="7BB5211F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Ako se uplaćuje polog, pod svrhom plaćanja potrebno je navesti da se radi o jamstvu za ozbiljnost ponude, navesti naziv nadmetanja za koje se izdaje i evidencijski broj nabave JN 3/2022. U ponudi je potrebno dostaviti dokaz o uplaćenom novčanom pologu na temelju kojeg se može utvrditi da je transakcija izvršena, pri čemu se dokazom smatraju i neovjerene preslike ili ispisi provedenih naloga za plaćanje, uključujući i onih izdanih u elektroničkom obliku. </w:t>
      </w:r>
    </w:p>
    <w:p w14:paraId="6EC4A5C2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Trajanje jamstva za ozbiljnost ponude ne smije biti kraće od roka valjanosti ponude. </w:t>
      </w:r>
    </w:p>
    <w:p w14:paraId="0917FB4A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Ukoliko ponuditelj jamstvo za ozbiljnost ponude dostavlja u obliku garancije banke ono mora biti dostavljeno u izvorniku, uloženo u plastični (PVC) fascikl. </w:t>
      </w:r>
    </w:p>
    <w:p w14:paraId="73D29154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Jamstvo za ozbiljnost ponude ne smije biti ni na koji način oštećeno (bušenjem,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klamanjem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sl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). </w:t>
      </w:r>
    </w:p>
    <w:p w14:paraId="701E285E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Na ovakav način je omogućeno naknadno vraćanje garancije ponuditeljima. </w:t>
      </w:r>
    </w:p>
    <w:p w14:paraId="4FFF8ADE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Jamstvom za ozbiljnost ponude banka se obvezuje da će u korist naručitelja na "prvi poziv" i "bez prigovora" isplatiti iznos jamstva: </w:t>
      </w:r>
    </w:p>
    <w:p w14:paraId="197F5612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1) za slučaj odustajanja ponuditelja od svoje ponude u roku njezine valjanosti, </w:t>
      </w:r>
    </w:p>
    <w:p w14:paraId="4515A7D6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2) za slučaj dostavljanja neistinitih podataka iz točke 3. ove dokumentacije, </w:t>
      </w:r>
    </w:p>
    <w:p w14:paraId="6AD49887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3) za slučaj neprihvaćanja ispravka računske greške </w:t>
      </w:r>
    </w:p>
    <w:p w14:paraId="78EC606F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4) za slučaj odbijanja potpisivanja ugovora o nabavi, </w:t>
      </w:r>
    </w:p>
    <w:p w14:paraId="1F3C8A06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5) za slučaj nedostavljanja jamstva za uredno ispunjenje ugovora o nabavi. </w:t>
      </w:r>
    </w:p>
    <w:p w14:paraId="7087B9DB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Jamstvo za ozbiljnost ponude treba biti izdano u korist naručitelja. </w:t>
      </w:r>
    </w:p>
    <w:p w14:paraId="21F1F0CF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Ako jamstvo za ozbiljnost ponude ne bude naplaćeno, naručitelj se obvezuje vratiti ponuditeljima jamstvo za ozbiljnost ponude neposredno nakon završetka postupka nabave. </w:t>
      </w:r>
    </w:p>
    <w:p w14:paraId="59AFFE8E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Naručitelj će na osnovi rezultata pregleda i ocjene ponuda odbiti ponudu ponuditelja koji nije dostavio jamstvo za ozbiljnost ponude, odnosno ako dostavljeno jamstvo nije valjano. </w:t>
      </w:r>
    </w:p>
    <w:p w14:paraId="4FC560C1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21DBDC7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5.2. Jamstvo za uredno ispunjenje ugovora</w:t>
      </w:r>
    </w:p>
    <w:p w14:paraId="2A066A30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32486AF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Odabrani ponuditelj je obvezan dostaviti jamstvo za uredno ispunjenje ugovora u roku od 8 (osam) dana od dana zaključenja ugovora. Iznos jamstva mora biti jednak iznosu od 10% ukupne vrijednosti ugovora, s rokom valjanosti od 13 (trinaest) mjeseci od dana primjene ugovora. </w:t>
      </w:r>
    </w:p>
    <w:p w14:paraId="3B4FB9D9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Traženo jamstvo je bezuvjetna, neopoziva, samostalna i valjana bankarska garancija za uredno ispunjenje ugovora, izdana u korist naručitelja i plativa "na prvi poziv" i "bez prigovora" od banke izdavatelja garancije, na iznos od 10% vrijednosti ugovora. </w:t>
      </w:r>
    </w:p>
    <w:p w14:paraId="7C997E3D" w14:textId="16D57080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Jedini uvjet za isplatu po garanciji je pisani zahtjev naručitelja, jedan ili više, podnesen banci izdavatelju garancije koji sadrži izjavu naručitelja o neispunjenju ugovornih obveza, zakašnjenju s ispunjenjem ugovornih obveza ili neurednim ispunjenjem ugovornih obveza, a sastavljen je na službenom memorandumu i potpisan od ovlaštene osobe naručitelja. </w:t>
      </w:r>
    </w:p>
    <w:p w14:paraId="15499846" w14:textId="43636AA1" w:rsidR="006B0022" w:rsidRDefault="006B0022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7FE7AFA" w14:textId="77777777" w:rsidR="006B0022" w:rsidRDefault="006B0022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78CE425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3192E30" w14:textId="77777777" w:rsidR="00900524" w:rsidRDefault="00900524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5.3. Norme osiguranja kvalitete</w:t>
      </w:r>
    </w:p>
    <w:p w14:paraId="580DE3F8" w14:textId="77777777" w:rsidR="00900524" w:rsidRDefault="00900524" w:rsidP="00900524">
      <w:pPr>
        <w:pStyle w:val="box45304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Dokaz o primjeni norme sustava upravljanja kvalitetom – zahtjevi ISO 18404:2015 („6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Sigma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“)</w:t>
      </w:r>
    </w:p>
    <w:p w14:paraId="27EF7697" w14:textId="77777777" w:rsidR="00900524" w:rsidRDefault="00900524" w:rsidP="00900524">
      <w:pPr>
        <w:pStyle w:val="box45304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Unutar sustava 6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Sigma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, djelatnici se certificiraju po razinama odnosno tzv. pojasevima. Razina zelenog pojasa podrazumijeva da je certificirani djelatnik stekao dobro poznavanje metodologije inherentne 6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Sigma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sustavu i da je uspješno izvršio najmanje 1 projekt u okviru sustavu. </w:t>
      </w:r>
    </w:p>
    <w:p w14:paraId="28A53C00" w14:textId="77777777" w:rsidR="00900524" w:rsidRDefault="00900524" w:rsidP="00900524">
      <w:pPr>
        <w:pStyle w:val="box45304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Kao dokaz primjene norme, naručitelj će prihvatiti izjavu ponuditelja da raspolaže s najmanje 5 djelatnika certificiranih na razini tzv. zelenog pojasa u sustavu 6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Sigma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</w:p>
    <w:p w14:paraId="65FB87DE" w14:textId="77777777" w:rsidR="00900524" w:rsidRDefault="00900524" w:rsidP="00900524">
      <w:pPr>
        <w:pStyle w:val="box45304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Obrazloženje: </w:t>
      </w:r>
    </w:p>
    <w:p w14:paraId="7D982E81" w14:textId="77777777" w:rsidR="00900524" w:rsidRDefault="00900524" w:rsidP="00900524">
      <w:pPr>
        <w:pStyle w:val="box453040"/>
        <w:jc w:val="both"/>
        <w:rPr>
          <w:rFonts w:ascii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sz w:val="22"/>
          <w:szCs w:val="22"/>
          <w:lang w:eastAsia="en-US"/>
        </w:rPr>
        <w:t>Sigma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označava standardnu devijaciju kao statistički pojam koji označava mjeru raspršenosti podataka u skupu. Interpretira se kao prosječno odstupanje od prosjeka i to u apsolutnom iznosu. Što je standardna devijacija veća, veće je rasipanje vrijednosti promatranih pojava. Princip 6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Sigma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sustava je postizanje što manjeg broja defekata u poslovnim procesima kojemu treba težiti, identificiranjem i uklanjanjem uzroka defekata i minimiziranjem varijabilnosti u proizvodnim i poslovnim procesima. 6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Sigma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sustav postavlja metode (uglavnom empirijske i statističke) za upravljanje kvalitetom i stvara posebnu infrastrukturu stručnjaka unutar organizacije. Svaki projekt u okviru 6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Sigma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sustava slijedi definirani niz koraka i ima specifične vrijednosne ciljeve, npr. skratiti vrijeme procesnog ciklusa, smanjiti zagađenje, smanjiti troškove, povećati zadovoljstvo korisnika, povećati profit.</w:t>
      </w:r>
    </w:p>
    <w:p w14:paraId="523D096B" w14:textId="77777777" w:rsidR="00900524" w:rsidRDefault="00900524" w:rsidP="00900524">
      <w:pPr>
        <w:spacing w:before="100" w:beforeAutospacing="1" w:after="225" w:line="240" w:lineRule="auto"/>
        <w:jc w:val="both"/>
      </w:pPr>
      <w:r>
        <w:t xml:space="preserve">Konkretno, “zrelost” procesa može se opisati </w:t>
      </w:r>
      <w:proofErr w:type="spellStart"/>
      <w:r>
        <w:t>sigma</w:t>
      </w:r>
      <w:proofErr w:type="spellEnd"/>
      <w:r>
        <w:t xml:space="preserve">-ocjenom po ishodu ili postotku proizvoda bez defekata. Proces s ocjenom “6 </w:t>
      </w:r>
      <w:proofErr w:type="spellStart"/>
      <w:r>
        <w:t>sigma</w:t>
      </w:r>
      <w:proofErr w:type="spellEnd"/>
      <w:r>
        <w:t>” je proces s 99.99966% uspješnosti, odnosno onaj u kojem se pojavljuje najviše 3.4 defekta na milijun prilika (3.4 DPMO).</w:t>
      </w:r>
    </w:p>
    <w:p w14:paraId="0A9F1FC5" w14:textId="77777777" w:rsidR="00900524" w:rsidRDefault="00900524" w:rsidP="00900524">
      <w:pPr>
        <w:spacing w:before="100" w:beforeAutospacing="1" w:after="225" w:line="240" w:lineRule="auto"/>
        <w:jc w:val="both"/>
      </w:pPr>
      <w:r>
        <w:t xml:space="preserve">Cilj 6 </w:t>
      </w:r>
      <w:proofErr w:type="spellStart"/>
      <w:r>
        <w:t>Sigma</w:t>
      </w:r>
      <w:proofErr w:type="spellEnd"/>
      <w:r>
        <w:t xml:space="preserve"> sustava je povećanje produktivnosti i kvalitete proizvoda i usluga te neprestano poboljšavanje.</w:t>
      </w:r>
    </w:p>
    <w:p w14:paraId="15929080" w14:textId="77777777" w:rsidR="00900524" w:rsidRDefault="00900524" w:rsidP="00900524">
      <w:pPr>
        <w:spacing w:before="100" w:beforeAutospacing="1" w:after="225" w:line="240" w:lineRule="auto"/>
        <w:jc w:val="both"/>
      </w:pPr>
      <w:r>
        <w:t xml:space="preserve">6 </w:t>
      </w:r>
      <w:proofErr w:type="spellStart"/>
      <w:r>
        <w:t>Sigma</w:t>
      </w:r>
      <w:proofErr w:type="spellEnd"/>
      <w:r>
        <w:t xml:space="preserve"> sustav za upravljanje kvalitetom usmjeren je prema kupcu, upravlja se prema podacima i činjenicama, teži se savršenstvu. 6 </w:t>
      </w:r>
      <w:proofErr w:type="spellStart"/>
      <w:r>
        <w:t>Sigma</w:t>
      </w:r>
      <w:proofErr w:type="spellEnd"/>
      <w:r>
        <w:t xml:space="preserve"> se također temelji na procesnom pristupu. Mjeri se standardna devijacija koja označava prosječno odstupanje od srednje vrijednosti. Kod 6 </w:t>
      </w:r>
      <w:proofErr w:type="spellStart"/>
      <w:r>
        <w:t>Sigma</w:t>
      </w:r>
      <w:proofErr w:type="spellEnd"/>
      <w:r>
        <w:t xml:space="preserve"> važno je jasno koncentriranje na ostvarivanje mjerljivih i kvantitativno precizno odredivih pozitivnih financijskih učinaka. Svaka odluka koju donese uprava organizacije mora se temeljiti na informacijama koje je moguće provjeriti i verificirati, a ne na pretpostavkama.</w:t>
      </w:r>
    </w:p>
    <w:p w14:paraId="32BE405D" w14:textId="77777777" w:rsidR="00900524" w:rsidRDefault="00900524" w:rsidP="00900524">
      <w:pPr>
        <w:spacing w:before="100" w:beforeAutospacing="1" w:after="225" w:line="240" w:lineRule="auto"/>
        <w:jc w:val="both"/>
      </w:pPr>
      <w:r>
        <w:t xml:space="preserve">Metodologija 6 </w:t>
      </w:r>
      <w:proofErr w:type="spellStart"/>
      <w:r>
        <w:t>Sigma</w:t>
      </w:r>
      <w:proofErr w:type="spellEnd"/>
      <w:r>
        <w:t xml:space="preserve"> primjenjiva je u svim područjima poslovanja.</w:t>
      </w:r>
    </w:p>
    <w:p w14:paraId="47B7FCA9" w14:textId="77777777" w:rsidR="00900524" w:rsidRDefault="00900524" w:rsidP="00900524">
      <w:pPr>
        <w:spacing w:before="100" w:beforeAutospacing="1" w:after="225" w:line="240" w:lineRule="auto"/>
        <w:jc w:val="both"/>
      </w:pPr>
      <w:r>
        <w:t xml:space="preserve">Da bi se 6 </w:t>
      </w:r>
      <w:proofErr w:type="spellStart"/>
      <w:r>
        <w:t>Sigma</w:t>
      </w:r>
      <w:proofErr w:type="spellEnd"/>
      <w:r>
        <w:t xml:space="preserve"> učinkovito primijenila u organizaciji potrebno je zadovoljiti nekoliko uvjeta. Važna je potpora uprave organizacije, potrebna je organizacijska struktura, kontinuirani trening zaposlenika, mora se primjenjivati napredna statistička tehnika.</w:t>
      </w:r>
    </w:p>
    <w:p w14:paraId="7864C72B" w14:textId="77777777" w:rsidR="00900524" w:rsidRDefault="00900524" w:rsidP="00900524">
      <w:pPr>
        <w:spacing w:before="100" w:beforeAutospacing="1" w:after="225" w:line="240" w:lineRule="auto"/>
        <w:jc w:val="both"/>
        <w:rPr>
          <w:lang w:eastAsia="hr-HR"/>
        </w:rPr>
      </w:pPr>
      <w:r>
        <w:rPr>
          <w:lang w:eastAsia="hr-HR"/>
        </w:rPr>
        <w:t xml:space="preserve">Međunarodna organizacija za standardizaciju (ISO) objavila je 2011. prvi standard ISO 13053:2011 koji je definirao proces 6 </w:t>
      </w:r>
      <w:proofErr w:type="spellStart"/>
      <w:r>
        <w:rPr>
          <w:lang w:eastAsia="hr-HR"/>
        </w:rPr>
        <w:t>Sigma</w:t>
      </w:r>
      <w:proofErr w:type="spellEnd"/>
      <w:r>
        <w:rPr>
          <w:lang w:eastAsia="hr-HR"/>
        </w:rPr>
        <w:t>. Trenutačno važeći standard je ISO 18404:2015.</w:t>
      </w:r>
    </w:p>
    <w:p w14:paraId="4D39AC6A" w14:textId="77777777" w:rsidR="00900524" w:rsidRDefault="00900524" w:rsidP="00900524">
      <w:pPr>
        <w:spacing w:before="100" w:beforeAutospacing="1" w:after="225" w:line="240" w:lineRule="auto"/>
        <w:jc w:val="both"/>
        <w:rPr>
          <w:lang w:eastAsia="hr-HR"/>
        </w:rPr>
      </w:pPr>
      <w:r>
        <w:rPr>
          <w:lang w:eastAsia="hr-HR"/>
        </w:rPr>
        <w:lastRenderedPageBreak/>
        <w:t xml:space="preserve">6 </w:t>
      </w:r>
      <w:proofErr w:type="spellStart"/>
      <w:r>
        <w:rPr>
          <w:lang w:eastAsia="hr-HR"/>
        </w:rPr>
        <w:t>Sigma</w:t>
      </w:r>
      <w:proofErr w:type="spellEnd"/>
      <w:r>
        <w:rPr>
          <w:lang w:eastAsia="hr-HR"/>
        </w:rPr>
        <w:t xml:space="preserve"> proces posebno je pogodan za sektor osiguranja. Postupak stjecanja certifikata 6 </w:t>
      </w:r>
      <w:proofErr w:type="spellStart"/>
      <w:r>
        <w:rPr>
          <w:lang w:eastAsia="hr-HR"/>
        </w:rPr>
        <w:t>Sigma</w:t>
      </w:r>
      <w:proofErr w:type="spellEnd"/>
      <w:r>
        <w:rPr>
          <w:lang w:eastAsia="hr-HR"/>
        </w:rPr>
        <w:t>, između ostalog, u osiguravajućem društvu:</w:t>
      </w:r>
    </w:p>
    <w:p w14:paraId="389838A6" w14:textId="77777777" w:rsidR="00900524" w:rsidRDefault="00900524" w:rsidP="006B0022">
      <w:pPr>
        <w:pStyle w:val="Odlomakpopisa"/>
        <w:numPr>
          <w:ilvl w:val="0"/>
          <w:numId w:val="1"/>
        </w:numPr>
        <w:spacing w:before="100" w:beforeAutospacing="1" w:after="225" w:line="240" w:lineRule="auto"/>
        <w:jc w:val="both"/>
        <w:rPr>
          <w:lang w:eastAsia="hr-HR"/>
        </w:rPr>
      </w:pPr>
      <w:r>
        <w:rPr>
          <w:lang w:eastAsia="hr-HR"/>
        </w:rPr>
        <w:t>identificira ključne poslovne procese potrebne za povećanje zadovoljstva korisnika,</w:t>
      </w:r>
    </w:p>
    <w:p w14:paraId="42C1FF7D" w14:textId="77777777" w:rsidR="00900524" w:rsidRDefault="00900524" w:rsidP="006B0022">
      <w:pPr>
        <w:pStyle w:val="Odlomakpopisa"/>
        <w:numPr>
          <w:ilvl w:val="0"/>
          <w:numId w:val="1"/>
        </w:numPr>
        <w:spacing w:before="100" w:beforeAutospacing="1" w:after="225" w:line="240" w:lineRule="auto"/>
        <w:jc w:val="both"/>
        <w:rPr>
          <w:lang w:eastAsia="hr-HR"/>
        </w:rPr>
      </w:pPr>
      <w:r>
        <w:rPr>
          <w:lang w:eastAsia="hr-HR"/>
        </w:rPr>
        <w:t>usvaja disciplinirani pristup koji pogoduje sprječavanju grešaka i povećanju brzine poslovnih procesa</w:t>
      </w:r>
    </w:p>
    <w:p w14:paraId="27732751" w14:textId="77777777" w:rsidR="00900524" w:rsidRDefault="00900524" w:rsidP="006B0022">
      <w:pPr>
        <w:pStyle w:val="Odlomakpopisa"/>
        <w:numPr>
          <w:ilvl w:val="0"/>
          <w:numId w:val="1"/>
        </w:numPr>
        <w:spacing w:before="100" w:beforeAutospacing="1" w:after="225" w:line="240" w:lineRule="auto"/>
        <w:jc w:val="both"/>
        <w:rPr>
          <w:lang w:eastAsia="hr-HR"/>
        </w:rPr>
      </w:pPr>
      <w:r>
        <w:rPr>
          <w:lang w:eastAsia="hr-HR"/>
        </w:rPr>
        <w:t>omogućava menadžmentu zasnivanje što većeg broja odluka na preciznim statističkim podacima</w:t>
      </w:r>
    </w:p>
    <w:p w14:paraId="07B81E27" w14:textId="77777777" w:rsidR="00900524" w:rsidRDefault="00900524" w:rsidP="006B0022">
      <w:pPr>
        <w:pStyle w:val="Odlomakpopisa"/>
        <w:numPr>
          <w:ilvl w:val="0"/>
          <w:numId w:val="1"/>
        </w:numPr>
        <w:spacing w:before="100" w:beforeAutospacing="1" w:after="225" w:line="240" w:lineRule="auto"/>
        <w:jc w:val="both"/>
        <w:rPr>
          <w:lang w:eastAsia="hr-HR"/>
        </w:rPr>
      </w:pPr>
      <w:r>
        <w:rPr>
          <w:lang w:eastAsia="hr-HR"/>
        </w:rPr>
        <w:t>smanjuje troškove pojednostavljivanjem procesa i povećanjem njihove efikasnosti</w:t>
      </w:r>
    </w:p>
    <w:p w14:paraId="3D697BD6" w14:textId="77777777" w:rsidR="00900524" w:rsidRDefault="00900524" w:rsidP="00900524">
      <w:pPr>
        <w:spacing w:before="100" w:beforeAutospacing="1" w:after="225" w:line="240" w:lineRule="auto"/>
        <w:jc w:val="both"/>
        <w:rPr>
          <w:lang w:eastAsia="hr-HR"/>
        </w:rPr>
      </w:pPr>
      <w:r>
        <w:rPr>
          <w:lang w:eastAsia="hr-HR"/>
        </w:rPr>
        <w:t xml:space="preserve">S obzirom na izrazito stroge zahtjeve (3.4 DPMO), posjedovanje certifikata 6 </w:t>
      </w:r>
      <w:proofErr w:type="spellStart"/>
      <w:r>
        <w:rPr>
          <w:lang w:eastAsia="hr-HR"/>
        </w:rPr>
        <w:t>Sigma</w:t>
      </w:r>
      <w:proofErr w:type="spellEnd"/>
      <w:r>
        <w:rPr>
          <w:lang w:eastAsia="hr-HR"/>
        </w:rPr>
        <w:t xml:space="preserve"> naručitelju na strani ponuditelja izravno jamči stručnost radnika, ujednačenost procesa obrade i rješavanja štete i kratke rokove postupanja. Zahtjevom za certifikat 6 </w:t>
      </w:r>
      <w:proofErr w:type="spellStart"/>
      <w:r>
        <w:rPr>
          <w:lang w:eastAsia="hr-HR"/>
        </w:rPr>
        <w:t>Sigma</w:t>
      </w:r>
      <w:proofErr w:type="spellEnd"/>
      <w:r>
        <w:rPr>
          <w:lang w:eastAsia="hr-HR"/>
        </w:rPr>
        <w:t xml:space="preserve"> naručitelj znatno smanjuje mogućnost da će morati angažirati vlastita sredstva za naknadu štete oštećenim osobama odnosno za sanaciju oštećenja imovine, kao i mogućnost pojave zastoja u radu i/ili njihovog neprihvatljivo dugog trajanja.</w:t>
      </w:r>
    </w:p>
    <w:p w14:paraId="12C08707" w14:textId="77777777" w:rsidR="00900524" w:rsidRDefault="00900524" w:rsidP="00900524">
      <w:pPr>
        <w:autoSpaceDE w:val="0"/>
        <w:autoSpaceDN w:val="0"/>
        <w:adjustRightInd w:val="0"/>
        <w:jc w:val="both"/>
      </w:pPr>
      <w:r>
        <w:t xml:space="preserve">Traženi dokaz o primjeni norme sustava upravljanja kvalitetom izravno je povezan s predmetom nabave, budući da se odnosi upravo na ishod oblikovanja usluge, u konkretnom slučaju usluge osiguranja. Naime, implementacija 6 </w:t>
      </w:r>
      <w:proofErr w:type="spellStart"/>
      <w:r>
        <w:t>Sigma</w:t>
      </w:r>
      <w:proofErr w:type="spellEnd"/>
      <w:r>
        <w:t xml:space="preserve"> sustava u osiguravajućem društvu podrazumijeva podizanje stručnosti radnika, ujednačavanje procesa i minimiziranje varijabilnosti, s krajnjim ciljem postizanja vrijednosti od najviše 3.4. defekta na milijun prilika, bez obzira na sam sadržaj procesa. Za naručitelja to prije svega podrazumijeva visoku kvalitetu i ujednačenost procesa obrade odštetnog zahtjeva, od zaprimanja prijave i očevida do likvidacije štete i isplate osigurnine, s maksimalno pojednostavljenim postupkom i skraćenim rokovima. Također, a budući da naručitelj sam ne raspolaže stručnim znanjima iz područja osiguranja, iznimno je važna stalna i izravna uključenost stručnog kadra ponuditelja u postupcima rješavanja odštetnih zahtjeva. Visoka razina stručnosti radnika ponuditelja omogućava sustav mjerenja, nadzora i analize, kao i stalni i potpuni uvid u broj štetnih događaja i/ili odštetnih zahtjeva iz pojedinog područja osiguranja koje je predmet nabave. Takav sustav mjerenja, nadzora i analize naručitelj će koristiti za identificiranje problematičnih (kriznih) točaka u svojoj djelatnosti, kao i onih u kojima je evidentiran najveći broj šteta, najveći broj odštetnih zahtjeva u okviru predmeta nabave, a što je preduvjet za poboljšanje naručiteljeve djelatnosti. U konačnici, primjena 6 </w:t>
      </w:r>
      <w:proofErr w:type="spellStart"/>
      <w:r>
        <w:t>Sigma</w:t>
      </w:r>
      <w:proofErr w:type="spellEnd"/>
      <w:r>
        <w:t xml:space="preserve"> sustava kod ponuditelja znatno </w:t>
      </w:r>
      <w:r>
        <w:rPr>
          <w:lang w:eastAsia="hr-HR"/>
        </w:rPr>
        <w:t>smanjuje mogućnost da će naručitelj morati angažirati vlastita sredstva za naknadu štete oštećenim osobama odnosno za sanaciju oštećenja imovine, kao i mogućnost pojave zastoja u radu i/ili njihovog neprihvatljivo dugog trajanja.</w:t>
      </w:r>
    </w:p>
    <w:p w14:paraId="7F08D98D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5.4. Rok, način i uvjeti plaćanja </w:t>
      </w:r>
    </w:p>
    <w:p w14:paraId="118EF767" w14:textId="58C0B684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Plaćanje se obavlja u roku do 30 (trideset) dana od dana zaprimanja e-računa</w:t>
      </w:r>
      <w:r w:rsidR="00CF51D9">
        <w:rPr>
          <w:rFonts w:ascii="Calibri" w:hAnsi="Calibri" w:cs="Calibri"/>
          <w:color w:val="auto"/>
          <w:sz w:val="22"/>
          <w:szCs w:val="22"/>
        </w:rPr>
        <w:t xml:space="preserve"> u dva godišnja obroka.</w:t>
      </w:r>
    </w:p>
    <w:p w14:paraId="7426BCCB" w14:textId="0D25A598" w:rsidR="006B0022" w:rsidRDefault="006B0022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2EBC8B8" w14:textId="77777777" w:rsidR="006B0022" w:rsidRDefault="006B0022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F1C29F2" w14:textId="77777777" w:rsidR="006B0022" w:rsidRDefault="006B0022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24C3355" w14:textId="77777777" w:rsidR="006B0022" w:rsidRDefault="006B0022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84E76C8" w14:textId="3681F2CB" w:rsidR="006B0022" w:rsidRPr="006B0022" w:rsidRDefault="006B0022" w:rsidP="0090052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B0022">
        <w:rPr>
          <w:rFonts w:ascii="Calibri" w:hAnsi="Calibri" w:cs="Calibri"/>
          <w:b/>
          <w:bCs/>
          <w:color w:val="auto"/>
          <w:sz w:val="22"/>
          <w:szCs w:val="22"/>
        </w:rPr>
        <w:t>Prilozi:</w:t>
      </w:r>
    </w:p>
    <w:p w14:paraId="0AFCE017" w14:textId="3FD89903" w:rsidR="006B0022" w:rsidRDefault="006B0022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1.   Ponudbeni list</w:t>
      </w:r>
    </w:p>
    <w:p w14:paraId="4B9DA40C" w14:textId="7024C6AE" w:rsidR="006B0022" w:rsidRDefault="006B0022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2.   Troškovnik</w:t>
      </w:r>
    </w:p>
    <w:p w14:paraId="34B5E397" w14:textId="77777777" w:rsidR="00900524" w:rsidRDefault="00900524" w:rsidP="00900524">
      <w:pPr>
        <w:pStyle w:val="Default"/>
        <w:pageBreakBefore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 xml:space="preserve">Prilog 1. Ponudbeni list </w:t>
      </w:r>
    </w:p>
    <w:p w14:paraId="40E8E209" w14:textId="7CCB730A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noProof/>
          <w:lang w:eastAsia="hr-HR"/>
        </w:rPr>
        <w:drawing>
          <wp:inline distT="0" distB="0" distL="0" distR="0" wp14:anchorId="40431BBF" wp14:editId="7DB3FBAF">
            <wp:extent cx="2389505" cy="810895"/>
            <wp:effectExtent l="0" t="0" r="10795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4465E" w14:textId="77777777" w:rsidR="00900524" w:rsidRDefault="00900524" w:rsidP="00900524">
      <w:pPr>
        <w:pStyle w:val="Default"/>
        <w:jc w:val="right"/>
        <w:rPr>
          <w:rFonts w:ascii="Calibri" w:hAnsi="Calibri" w:cs="Calibri"/>
          <w:color w:val="auto"/>
          <w:sz w:val="22"/>
          <w:szCs w:val="22"/>
        </w:rPr>
      </w:pPr>
    </w:p>
    <w:p w14:paraId="0D7C487D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3F589B2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DB06AE6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401CF7F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Naziv i sjedište naručitelja: ________________</w:t>
      </w:r>
    </w:p>
    <w:p w14:paraId="34822217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F6295DB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Naziv i sjedište ponuditelja: ___________________________________________________ </w:t>
      </w:r>
    </w:p>
    <w:p w14:paraId="041BFA08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__________________________________________________________________________ </w:t>
      </w:r>
    </w:p>
    <w:p w14:paraId="43DABD2C" w14:textId="77777777" w:rsidR="00021BAD" w:rsidRDefault="00021BAD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053C7F8" w14:textId="7E0C95C6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Adresa ponuditelja:________________________________________________________ </w:t>
      </w:r>
    </w:p>
    <w:p w14:paraId="692B3E5F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OIB ponuditelja:_____________________ </w:t>
      </w:r>
    </w:p>
    <w:p w14:paraId="38E32B9A" w14:textId="77777777" w:rsidR="00021BAD" w:rsidRDefault="00021BAD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B04B514" w14:textId="796F2B75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Broj računa ponuditelja (IBAN) i naziv poslovne banke: _________________________________________________________________________________ </w:t>
      </w:r>
    </w:p>
    <w:p w14:paraId="3EA38FB1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Navod da li je ponuditelj u sustavu PDV-a:____________________________________________ </w:t>
      </w:r>
    </w:p>
    <w:p w14:paraId="23CC4175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DF7FC45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Adresa za dostavu pošte: _____________________________________________________ </w:t>
      </w:r>
    </w:p>
    <w:p w14:paraId="5D95C9F1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e-mail: ____________________________________________________________________ </w:t>
      </w:r>
    </w:p>
    <w:p w14:paraId="56710B86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Kontakt osoba ponuditelja:____________________________________________________ </w:t>
      </w:r>
    </w:p>
    <w:p w14:paraId="49D3FFE0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Telefon:______________________ </w:t>
      </w:r>
    </w:p>
    <w:p w14:paraId="650C194D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proofErr w:type="spellStart"/>
      <w:r>
        <w:rPr>
          <w:rFonts w:ascii="Calibri" w:hAnsi="Calibri" w:cs="Calibri"/>
          <w:color w:val="auto"/>
          <w:sz w:val="22"/>
          <w:szCs w:val="22"/>
        </w:rPr>
        <w:t>Telefax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:______________________ </w:t>
      </w:r>
    </w:p>
    <w:p w14:paraId="1C339284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18888E1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DF7D8AE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Predmet nabave: _____________</w:t>
      </w:r>
    </w:p>
    <w:p w14:paraId="58408D36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F763BB1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5DCBE6F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Cijena ponude bez PDV-a:________________________________ kn </w:t>
      </w:r>
    </w:p>
    <w:p w14:paraId="70826696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5A68685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Iznos PDV-a: ________________________________ kn </w:t>
      </w:r>
    </w:p>
    <w:p w14:paraId="70838A3C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15B0B8C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Cijena ponude s PDV-om:________________________________ kn </w:t>
      </w:r>
    </w:p>
    <w:p w14:paraId="1CD6B521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3EF8076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Rok valjanosti ponude: __ dana od dana otvaranja </w:t>
      </w:r>
    </w:p>
    <w:p w14:paraId="46203387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C659FA1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1A9B84F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U ____________,____________.g. </w:t>
      </w:r>
    </w:p>
    <w:p w14:paraId="271079DB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E1F8127" w14:textId="77777777" w:rsidR="00900524" w:rsidRDefault="00900524" w:rsidP="0090052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9AA90A7" w14:textId="77777777" w:rsidR="00900524" w:rsidRDefault="00900524" w:rsidP="00900524">
      <w:pPr>
        <w:pStyle w:val="Default"/>
        <w:ind w:left="4248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_____________________________ </w:t>
      </w:r>
    </w:p>
    <w:p w14:paraId="20AEEF2D" w14:textId="5E954EF0" w:rsidR="00BF19C8" w:rsidRPr="00900524" w:rsidRDefault="00900524" w:rsidP="00900524">
      <w:pPr>
        <w:ind w:left="4248"/>
      </w:pPr>
      <w:r>
        <w:t>(žig i potpis ovlaštene osobe ponuditelja)</w:t>
      </w:r>
    </w:p>
    <w:sectPr w:rsidR="00BF19C8" w:rsidRPr="00900524" w:rsidSect="00C9006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134" w:bottom="1701" w:left="1134" w:header="2268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34BC" w14:textId="77777777" w:rsidR="003D2C07" w:rsidRDefault="003D2C07" w:rsidP="004E0FB1">
      <w:pPr>
        <w:spacing w:after="0" w:line="240" w:lineRule="auto"/>
      </w:pPr>
      <w:r>
        <w:separator/>
      </w:r>
    </w:p>
  </w:endnote>
  <w:endnote w:type="continuationSeparator" w:id="0">
    <w:p w14:paraId="42178557" w14:textId="77777777" w:rsidR="003D2C07" w:rsidRDefault="003D2C07" w:rsidP="004E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enner Sans Std Reg">
    <w:panose1 w:val="00000000000000000000"/>
    <w:charset w:val="00"/>
    <w:family w:val="modern"/>
    <w:notTrueType/>
    <w:pitch w:val="variable"/>
    <w:sig w:usb0="A00000FF" w:usb1="5001E47B" w:usb2="00000000" w:usb3="00000000" w:csb0="0000009B" w:csb1="00000000"/>
  </w:font>
  <w:font w:name="Brenner Sans Std Med">
    <w:panose1 w:val="00000000000000000000"/>
    <w:charset w:val="00"/>
    <w:family w:val="modern"/>
    <w:notTrueType/>
    <w:pitch w:val="variable"/>
    <w:sig w:usb0="A00000FF" w:usb1="5001E47B" w:usb2="00000000" w:usb3="00000000" w:csb0="0000009B" w:csb1="00000000"/>
  </w:font>
  <w:font w:name="Life L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8A9A" w14:textId="77777777" w:rsidR="00BF19C8" w:rsidRDefault="00BF19C8" w:rsidP="004E0FB1">
    <w:pPr>
      <w:pStyle w:val="Podnoje"/>
      <w:tabs>
        <w:tab w:val="clear" w:pos="4536"/>
        <w:tab w:val="clear" w:pos="9072"/>
      </w:tabs>
      <w:ind w:left="-1417" w:righ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3134" w14:textId="387A6DB6" w:rsidR="00BF19C8" w:rsidRPr="004E0FB1" w:rsidRDefault="00C10909">
    <w:pPr>
      <w:pStyle w:val="Podnoje"/>
      <w:rPr>
        <w:rFonts w:ascii="Brenner Sans Std Reg" w:hAnsi="Brenner Sans Std Reg" w:cs="Brenner Sans Std Reg"/>
        <w:sz w:val="2"/>
        <w:szCs w:val="2"/>
      </w:rPr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6D7744CD" wp14:editId="283C9DB2">
          <wp:simplePos x="0" y="0"/>
          <wp:positionH relativeFrom="page">
            <wp:posOffset>635</wp:posOffset>
          </wp:positionH>
          <wp:positionV relativeFrom="page">
            <wp:posOffset>9843135</wp:posOffset>
          </wp:positionV>
          <wp:extent cx="7560310" cy="84963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5EC5" w14:textId="77777777" w:rsidR="003D2C07" w:rsidRDefault="003D2C07" w:rsidP="004E0FB1">
      <w:pPr>
        <w:spacing w:after="0" w:line="240" w:lineRule="auto"/>
      </w:pPr>
      <w:r>
        <w:separator/>
      </w:r>
    </w:p>
  </w:footnote>
  <w:footnote w:type="continuationSeparator" w:id="0">
    <w:p w14:paraId="37B116C6" w14:textId="77777777" w:rsidR="003D2C07" w:rsidRDefault="003D2C07" w:rsidP="004E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CDCF" w14:textId="77777777" w:rsidR="00BF19C8" w:rsidRDefault="00BF19C8" w:rsidP="004E0FB1">
    <w:pPr>
      <w:pStyle w:val="Zaglavlje"/>
      <w:tabs>
        <w:tab w:val="clear" w:pos="4536"/>
        <w:tab w:val="clear" w:pos="9072"/>
      </w:tabs>
      <w:ind w:left="-1417" w:righ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A1C4" w14:textId="66BE8C7F" w:rsidR="00BF19C8" w:rsidRPr="004E0FB1" w:rsidRDefault="00C10909">
    <w:pPr>
      <w:pStyle w:val="Zaglavlje"/>
      <w:rPr>
        <w:rFonts w:ascii="Brenner Sans Std Reg" w:hAnsi="Brenner Sans Std Reg" w:cs="Brenner Sans Std Reg"/>
        <w:sz w:val="2"/>
        <w:szCs w:val="2"/>
      </w:rPr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033398BD" wp14:editId="2764F2AD">
          <wp:simplePos x="0" y="0"/>
          <wp:positionH relativeFrom="margin">
            <wp:posOffset>-720090</wp:posOffset>
          </wp:positionH>
          <wp:positionV relativeFrom="margin">
            <wp:posOffset>-1455420</wp:posOffset>
          </wp:positionV>
          <wp:extent cx="7560310" cy="12274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34E99"/>
    <w:multiLevelType w:val="hybridMultilevel"/>
    <w:tmpl w:val="73EEE44A"/>
    <w:lvl w:ilvl="0" w:tplc="8698EDE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5E"/>
    <w:rsid w:val="00021BAD"/>
    <w:rsid w:val="00053CDD"/>
    <w:rsid w:val="00074F4C"/>
    <w:rsid w:val="000E09F2"/>
    <w:rsid w:val="00100F00"/>
    <w:rsid w:val="001B18F2"/>
    <w:rsid w:val="00212529"/>
    <w:rsid w:val="00237E5E"/>
    <w:rsid w:val="00243160"/>
    <w:rsid w:val="002470CA"/>
    <w:rsid w:val="00257D2A"/>
    <w:rsid w:val="00266C54"/>
    <w:rsid w:val="002A7562"/>
    <w:rsid w:val="002C07CA"/>
    <w:rsid w:val="002E105E"/>
    <w:rsid w:val="002E395F"/>
    <w:rsid w:val="002E5FB9"/>
    <w:rsid w:val="0034492F"/>
    <w:rsid w:val="00353C79"/>
    <w:rsid w:val="003722A6"/>
    <w:rsid w:val="00380ED8"/>
    <w:rsid w:val="0039472A"/>
    <w:rsid w:val="003B0CEA"/>
    <w:rsid w:val="003D2C07"/>
    <w:rsid w:val="003F63F9"/>
    <w:rsid w:val="004A565C"/>
    <w:rsid w:val="004E0FB1"/>
    <w:rsid w:val="004F50F4"/>
    <w:rsid w:val="0050426D"/>
    <w:rsid w:val="0052365A"/>
    <w:rsid w:val="005C3D52"/>
    <w:rsid w:val="005F6418"/>
    <w:rsid w:val="00692F96"/>
    <w:rsid w:val="006B0022"/>
    <w:rsid w:val="006C074D"/>
    <w:rsid w:val="00781963"/>
    <w:rsid w:val="007A0C68"/>
    <w:rsid w:val="007E41A5"/>
    <w:rsid w:val="007F595E"/>
    <w:rsid w:val="00812770"/>
    <w:rsid w:val="008C2335"/>
    <w:rsid w:val="008E0545"/>
    <w:rsid w:val="00900524"/>
    <w:rsid w:val="00935F0B"/>
    <w:rsid w:val="00975526"/>
    <w:rsid w:val="00995A9C"/>
    <w:rsid w:val="009A6315"/>
    <w:rsid w:val="00A60E1C"/>
    <w:rsid w:val="00A6492D"/>
    <w:rsid w:val="00A854D8"/>
    <w:rsid w:val="00B04D10"/>
    <w:rsid w:val="00B540E9"/>
    <w:rsid w:val="00B72AE0"/>
    <w:rsid w:val="00BA030C"/>
    <w:rsid w:val="00BA4049"/>
    <w:rsid w:val="00BA73B9"/>
    <w:rsid w:val="00BB1E5E"/>
    <w:rsid w:val="00BF19C8"/>
    <w:rsid w:val="00C10909"/>
    <w:rsid w:val="00C3262D"/>
    <w:rsid w:val="00C567D1"/>
    <w:rsid w:val="00C56D11"/>
    <w:rsid w:val="00C60737"/>
    <w:rsid w:val="00C74D9E"/>
    <w:rsid w:val="00C90065"/>
    <w:rsid w:val="00C92612"/>
    <w:rsid w:val="00C97213"/>
    <w:rsid w:val="00CC68A4"/>
    <w:rsid w:val="00CF51D9"/>
    <w:rsid w:val="00CF6171"/>
    <w:rsid w:val="00D3018D"/>
    <w:rsid w:val="00D8660E"/>
    <w:rsid w:val="00D92E19"/>
    <w:rsid w:val="00DA6A2D"/>
    <w:rsid w:val="00E164FB"/>
    <w:rsid w:val="00E30C42"/>
    <w:rsid w:val="00E947EE"/>
    <w:rsid w:val="00F03B89"/>
    <w:rsid w:val="00F0554C"/>
    <w:rsid w:val="00F736BB"/>
    <w:rsid w:val="00F90135"/>
    <w:rsid w:val="00F950DB"/>
    <w:rsid w:val="00F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14A1"/>
  <w15:docId w15:val="{D6DB1F72-5FAC-4AF5-914A-AB5A3ED4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95F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4E0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4E0FB1"/>
  </w:style>
  <w:style w:type="paragraph" w:styleId="Podnoje">
    <w:name w:val="footer"/>
    <w:basedOn w:val="Normal"/>
    <w:link w:val="PodnojeChar"/>
    <w:uiPriority w:val="99"/>
    <w:rsid w:val="004E0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4E0FB1"/>
  </w:style>
  <w:style w:type="paragraph" w:styleId="Tekstbalonia">
    <w:name w:val="Balloon Text"/>
    <w:basedOn w:val="Normal"/>
    <w:link w:val="TekstbaloniaChar"/>
    <w:uiPriority w:val="99"/>
    <w:semiHidden/>
    <w:rsid w:val="004E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E0FB1"/>
    <w:rPr>
      <w:rFonts w:ascii="Segoe UI" w:hAnsi="Segoe UI" w:cs="Segoe UI"/>
      <w:sz w:val="18"/>
      <w:szCs w:val="18"/>
    </w:rPr>
  </w:style>
  <w:style w:type="paragraph" w:customStyle="1" w:styleId="UZ">
    <w:name w:val="_UZ"/>
    <w:basedOn w:val="Normal"/>
    <w:link w:val="UZChar"/>
    <w:uiPriority w:val="99"/>
    <w:rsid w:val="00C90065"/>
    <w:pPr>
      <w:ind w:left="5670"/>
    </w:pPr>
    <w:rPr>
      <w:rFonts w:ascii="Brenner Sans Std Reg" w:hAnsi="Brenner Sans Std Reg" w:cs="Brenner Sans Std Reg"/>
    </w:rPr>
  </w:style>
  <w:style w:type="paragraph" w:customStyle="1" w:styleId="Datum">
    <w:name w:val="_Datum"/>
    <w:basedOn w:val="Normal"/>
    <w:link w:val="DatumChar"/>
    <w:uiPriority w:val="99"/>
    <w:rsid w:val="00C90065"/>
    <w:pPr>
      <w:spacing w:after="480"/>
      <w:ind w:left="5670"/>
    </w:pPr>
    <w:rPr>
      <w:rFonts w:ascii="Brenner Sans Std Reg" w:hAnsi="Brenner Sans Std Reg" w:cs="Brenner Sans Std Reg"/>
    </w:rPr>
  </w:style>
  <w:style w:type="character" w:customStyle="1" w:styleId="UZChar">
    <w:name w:val="_UZ Char"/>
    <w:basedOn w:val="Zadanifontodlomka"/>
    <w:link w:val="UZ"/>
    <w:uiPriority w:val="99"/>
    <w:locked/>
    <w:rsid w:val="00C90065"/>
    <w:rPr>
      <w:rFonts w:ascii="Brenner Sans Std Reg" w:hAnsi="Brenner Sans Std Reg" w:cs="Brenner Sans Std Reg"/>
    </w:rPr>
  </w:style>
  <w:style w:type="paragraph" w:customStyle="1" w:styleId="potpis">
    <w:name w:val="_potpis"/>
    <w:basedOn w:val="Normal"/>
    <w:link w:val="potpisChar"/>
    <w:uiPriority w:val="99"/>
    <w:rsid w:val="00C90065"/>
    <w:pPr>
      <w:spacing w:before="480" w:after="0" w:line="480" w:lineRule="auto"/>
      <w:ind w:left="4820"/>
      <w:jc w:val="center"/>
    </w:pPr>
    <w:rPr>
      <w:rFonts w:ascii="Brenner Sans Std Reg" w:hAnsi="Brenner Sans Std Reg" w:cs="Brenner Sans Std Reg"/>
      <w:i/>
      <w:iCs/>
    </w:rPr>
  </w:style>
  <w:style w:type="character" w:customStyle="1" w:styleId="DatumChar">
    <w:name w:val="_Datum Char"/>
    <w:basedOn w:val="Zadanifontodlomka"/>
    <w:link w:val="Datum"/>
    <w:uiPriority w:val="99"/>
    <w:locked/>
    <w:rsid w:val="00C90065"/>
    <w:rPr>
      <w:rFonts w:ascii="Brenner Sans Std Reg" w:hAnsi="Brenner Sans Std Reg" w:cs="Brenner Sans Std Reg"/>
    </w:rPr>
  </w:style>
  <w:style w:type="paragraph" w:customStyle="1" w:styleId="predmet">
    <w:name w:val="_predmet"/>
    <w:basedOn w:val="Normal"/>
    <w:link w:val="predmetChar"/>
    <w:uiPriority w:val="99"/>
    <w:rsid w:val="00C90065"/>
    <w:pPr>
      <w:spacing w:after="360"/>
      <w:ind w:left="1134" w:hanging="1134"/>
    </w:pPr>
    <w:rPr>
      <w:rFonts w:ascii="Brenner Sans Std Med" w:hAnsi="Brenner Sans Std Med" w:cs="Brenner Sans Std Med"/>
    </w:rPr>
  </w:style>
  <w:style w:type="character" w:customStyle="1" w:styleId="potpisChar">
    <w:name w:val="_potpis Char"/>
    <w:basedOn w:val="Zadanifontodlomka"/>
    <w:link w:val="potpis"/>
    <w:uiPriority w:val="99"/>
    <w:locked/>
    <w:rsid w:val="00C90065"/>
    <w:rPr>
      <w:rFonts w:ascii="Brenner Sans Std Reg" w:hAnsi="Brenner Sans Std Reg" w:cs="Brenner Sans Std Reg"/>
      <w:i/>
      <w:iCs/>
    </w:rPr>
  </w:style>
  <w:style w:type="paragraph" w:customStyle="1" w:styleId="tekst">
    <w:name w:val="_tekst"/>
    <w:basedOn w:val="Normal"/>
    <w:link w:val="tekstChar"/>
    <w:uiPriority w:val="99"/>
    <w:rsid w:val="00FC35DA"/>
    <w:pPr>
      <w:jc w:val="both"/>
    </w:pPr>
    <w:rPr>
      <w:rFonts w:ascii="Brenner Sans Std Reg" w:hAnsi="Brenner Sans Std Reg" w:cs="Brenner Sans Std Reg"/>
    </w:rPr>
  </w:style>
  <w:style w:type="character" w:customStyle="1" w:styleId="predmetChar">
    <w:name w:val="_predmet Char"/>
    <w:basedOn w:val="Zadanifontodlomka"/>
    <w:link w:val="predmet"/>
    <w:uiPriority w:val="99"/>
    <w:locked/>
    <w:rsid w:val="00C90065"/>
    <w:rPr>
      <w:rFonts w:ascii="Brenner Sans Std Med" w:hAnsi="Brenner Sans Std Med" w:cs="Brenner Sans Std Med"/>
    </w:rPr>
  </w:style>
  <w:style w:type="character" w:customStyle="1" w:styleId="tekstChar">
    <w:name w:val="_tekst Char"/>
    <w:basedOn w:val="Zadanifontodlomka"/>
    <w:link w:val="tekst"/>
    <w:uiPriority w:val="99"/>
    <w:locked/>
    <w:rsid w:val="00FC35DA"/>
    <w:rPr>
      <w:rFonts w:ascii="Brenner Sans Std Reg" w:hAnsi="Brenner Sans Std Reg" w:cs="Brenner Sans Std Reg"/>
    </w:rPr>
  </w:style>
  <w:style w:type="table" w:styleId="Reetkatablice">
    <w:name w:val="Table Grid"/>
    <w:basedOn w:val="Obinatablica"/>
    <w:uiPriority w:val="99"/>
    <w:rsid w:val="00BB1E5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00524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900524"/>
    <w:pPr>
      <w:spacing w:after="200" w:line="276" w:lineRule="auto"/>
      <w:ind w:left="720"/>
    </w:pPr>
  </w:style>
  <w:style w:type="paragraph" w:customStyle="1" w:styleId="Default">
    <w:name w:val="Default"/>
    <w:uiPriority w:val="99"/>
    <w:rsid w:val="00900524"/>
    <w:pPr>
      <w:autoSpaceDE w:val="0"/>
      <w:autoSpaceDN w:val="0"/>
      <w:adjustRightInd w:val="0"/>
    </w:pPr>
    <w:rPr>
      <w:rFonts w:ascii="Life L2" w:hAnsi="Life L2" w:cs="Life L2"/>
      <w:color w:val="000000"/>
      <w:sz w:val="24"/>
      <w:szCs w:val="24"/>
      <w:lang w:eastAsia="en-US"/>
    </w:rPr>
  </w:style>
  <w:style w:type="paragraph" w:customStyle="1" w:styleId="box453040">
    <w:name w:val="box_453040"/>
    <w:basedOn w:val="Normal"/>
    <w:uiPriority w:val="99"/>
    <w:rsid w:val="00900524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0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lukic@muo.h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da.bikic@muo.hr" TargetMode="External"/><Relationship Id="rId12" Type="http://schemas.openxmlformats.org/officeDocument/2006/relationships/image" Target="cid:image001.png@01D8443E.37A1C7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arina.lukic@muo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da.bikic@muo.h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MUO broj:</vt:lpstr>
    </vt:vector>
  </TitlesOfParts>
  <Company>MUO</Company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MUO broj:</dc:title>
  <dc:subject/>
  <dc:creator>Vesna M</dc:creator>
  <cp:keywords/>
  <dc:description/>
  <cp:lastModifiedBy>MUO</cp:lastModifiedBy>
  <cp:revision>6</cp:revision>
  <cp:lastPrinted>2020-03-04T14:06:00Z</cp:lastPrinted>
  <dcterms:created xsi:type="dcterms:W3CDTF">2022-04-11T09:54:00Z</dcterms:created>
  <dcterms:modified xsi:type="dcterms:W3CDTF">2022-04-11T12:24:00Z</dcterms:modified>
</cp:coreProperties>
</file>